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50AA" w14:textId="7BDF6365" w:rsidR="000E187A" w:rsidRPr="000E187A" w:rsidRDefault="000E187A" w:rsidP="000E187A">
      <w:pPr>
        <w:keepNext/>
        <w:spacing w:before="240" w:after="60" w:line="276" w:lineRule="auto"/>
        <w:jc w:val="both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</w:pPr>
      <w:bookmarkStart w:id="0" w:name="_Ref83195778"/>
      <w:bookmarkStart w:id="1" w:name="_Hlk83195074"/>
      <w:r w:rsidRPr="000E187A">
        <w:rPr>
          <w:rFonts w:ascii="Cambria" w:eastAsia="Times New Roman" w:hAnsi="Cambria" w:cs="Times New Roman"/>
          <w:b/>
          <w:bCs/>
          <w:kern w:val="32"/>
          <w:sz w:val="32"/>
          <w:szCs w:val="32"/>
        </w:rPr>
        <w:t>PROHIBITION OF RACE AND SEX DISCRIMINATION IN</w:t>
      </w:r>
      <w:r w:rsidRPr="000E187A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  <w:t xml:space="preserve"> CURRICULUM AND COMPLAINT PROCESS</w:t>
      </w:r>
      <w:bookmarkEnd w:id="0"/>
      <w:r w:rsidRPr="000E187A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  <w:t xml:space="preserve"> </w:t>
      </w:r>
      <w:r w:rsidR="00E45FE4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  <w:tab/>
      </w:r>
      <w:r w:rsidR="00E45FE4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  <w:tab/>
      </w:r>
      <w:r w:rsidR="00E45FE4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  <w:tab/>
      </w:r>
      <w:r w:rsidR="00E45FE4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  <w:tab/>
      </w:r>
      <w:r w:rsidR="00E45FE4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  <w:tab/>
      </w:r>
      <w:r w:rsidRPr="000E187A">
        <w:rPr>
          <w:rFonts w:ascii="Cambria" w:eastAsia="Times New Roman" w:hAnsi="Cambria" w:cs="Times New Roman"/>
          <w:b/>
          <w:bCs/>
          <w:kern w:val="32"/>
          <w:sz w:val="32"/>
          <w:szCs w:val="32"/>
          <w:u w:val="single"/>
        </w:rPr>
        <w:t xml:space="preserve">                                             </w:t>
      </w:r>
    </w:p>
    <w:bookmarkEnd w:id="1"/>
    <w:p w14:paraId="5548568F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The board of education hereby directs that neither the district, nor any employee of the district shall teach or include in a course for students or employees the following discriminatory principles: </w:t>
      </w:r>
    </w:p>
    <w:p w14:paraId="532D8CC1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(1)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One race or sex is inherently superior to another race or sex, </w:t>
      </w:r>
    </w:p>
    <w:p w14:paraId="157DBC08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(2)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An individual, by virtue of his or her race or sex, is inherently racist, </w:t>
      </w:r>
      <w:proofErr w:type="gramStart"/>
      <w:r w:rsidRPr="000E187A">
        <w:rPr>
          <w:rFonts w:ascii="Tahoma" w:eastAsia="Times New Roman" w:hAnsi="Tahoma" w:cs="Tahoma"/>
          <w:sz w:val="21"/>
          <w:szCs w:val="21"/>
        </w:rPr>
        <w:t>sexist</w:t>
      </w:r>
      <w:proofErr w:type="gramEnd"/>
      <w:r w:rsidRPr="000E187A">
        <w:rPr>
          <w:rFonts w:ascii="Tahoma" w:eastAsia="Times New Roman" w:hAnsi="Tahoma" w:cs="Tahoma"/>
          <w:sz w:val="21"/>
          <w:szCs w:val="21"/>
        </w:rPr>
        <w:t xml:space="preserve"> or oppressive,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whether consciously or unconsciously, </w:t>
      </w:r>
    </w:p>
    <w:p w14:paraId="13A3324F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(3)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An individual should be discriminated against or receive adverse treatment solely or partly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because of his or her race or sex, 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 </w:t>
      </w:r>
    </w:p>
    <w:p w14:paraId="76CDCB66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(4)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Members of one race or sex cannot and should not attempt to treat others without respect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to race or sex, </w:t>
      </w:r>
    </w:p>
    <w:p w14:paraId="50010BEE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(5)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An individual’s moral character is necessarily determined by his or her race or sex, </w:t>
      </w:r>
    </w:p>
    <w:p w14:paraId="53337750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(6)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An individual, by virtue of his or her race or sex, bears responsibility for actions committed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in the past by other members of the same race or sex, </w:t>
      </w:r>
    </w:p>
    <w:p w14:paraId="78750755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(7)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Any individual should feel discomfort, guilt, </w:t>
      </w:r>
      <w:proofErr w:type="gramStart"/>
      <w:r w:rsidRPr="000E187A">
        <w:rPr>
          <w:rFonts w:ascii="Tahoma" w:eastAsia="Times New Roman" w:hAnsi="Tahoma" w:cs="Tahoma"/>
          <w:sz w:val="21"/>
          <w:szCs w:val="21"/>
        </w:rPr>
        <w:t>anguish</w:t>
      </w:r>
      <w:proofErr w:type="gramEnd"/>
      <w:r w:rsidRPr="000E187A">
        <w:rPr>
          <w:rFonts w:ascii="Tahoma" w:eastAsia="Times New Roman" w:hAnsi="Tahoma" w:cs="Tahoma"/>
          <w:sz w:val="21"/>
          <w:szCs w:val="21"/>
        </w:rPr>
        <w:t xml:space="preserve"> or any other form of psychological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distress on account of his or her race or sex, or </w:t>
      </w:r>
    </w:p>
    <w:p w14:paraId="3CA74ED3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(8)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Meritocracy or traits such as a hard work ethic are racist or sexist or were created by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members of a particular race to oppress members of another race. </w:t>
      </w:r>
    </w:p>
    <w:p w14:paraId="7987D3BC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A “course” shall include any forum where instruction or activities tied to the instruction are provided, including training, seminars, professional development, lectures, sessions, coaching, tutoring, or any other class.  </w:t>
      </w:r>
    </w:p>
    <w:p w14:paraId="6AD2C064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Any individual may file a complaint alleging that a violation has occurred of enumerated items 1-8 above.  </w:t>
      </w:r>
      <w:proofErr w:type="gramStart"/>
      <w:r w:rsidRPr="000E187A">
        <w:rPr>
          <w:rFonts w:ascii="Tahoma" w:eastAsia="Times New Roman" w:hAnsi="Tahoma" w:cs="Tahoma"/>
          <w:sz w:val="21"/>
          <w:szCs w:val="21"/>
        </w:rPr>
        <w:t>In order for</w:t>
      </w:r>
      <w:proofErr w:type="gramEnd"/>
      <w:r w:rsidRPr="000E187A">
        <w:rPr>
          <w:rFonts w:ascii="Tahoma" w:eastAsia="Times New Roman" w:hAnsi="Tahoma" w:cs="Tahoma"/>
          <w:sz w:val="21"/>
          <w:szCs w:val="21"/>
        </w:rPr>
        <w:t xml:space="preserve"> a complaint to be accepted for investigation, it must: </w:t>
      </w:r>
    </w:p>
    <w:p w14:paraId="322BA827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(A)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Be submitted in writing, signed and dated by the complainant, including complaints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submitted through electronic mail that include electronic </w:t>
      </w:r>
      <w:proofErr w:type="gramStart"/>
      <w:r w:rsidRPr="000E187A">
        <w:rPr>
          <w:rFonts w:ascii="Tahoma" w:eastAsia="Times New Roman" w:hAnsi="Tahoma" w:cs="Tahoma"/>
          <w:sz w:val="21"/>
          <w:szCs w:val="21"/>
        </w:rPr>
        <w:t>signatures;</w:t>
      </w:r>
      <w:proofErr w:type="gramEnd"/>
      <w:r w:rsidRPr="000E187A">
        <w:rPr>
          <w:rFonts w:ascii="Tahoma" w:eastAsia="Times New Roman" w:hAnsi="Tahoma" w:cs="Tahoma"/>
          <w:sz w:val="21"/>
          <w:szCs w:val="21"/>
        </w:rPr>
        <w:t xml:space="preserve"> </w:t>
      </w:r>
    </w:p>
    <w:p w14:paraId="4FDEA254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(B)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Identify the dates the alleged discriminatory act </w:t>
      </w:r>
      <w:proofErr w:type="gramStart"/>
      <w:r w:rsidRPr="000E187A">
        <w:rPr>
          <w:rFonts w:ascii="Tahoma" w:eastAsia="Times New Roman" w:hAnsi="Tahoma" w:cs="Tahoma"/>
          <w:sz w:val="21"/>
          <w:szCs w:val="21"/>
        </w:rPr>
        <w:t>occurred;</w:t>
      </w:r>
      <w:proofErr w:type="gramEnd"/>
      <w:r w:rsidRPr="000E187A">
        <w:rPr>
          <w:rFonts w:ascii="Tahoma" w:eastAsia="Times New Roman" w:hAnsi="Tahoma" w:cs="Tahoma"/>
          <w:sz w:val="21"/>
          <w:szCs w:val="21"/>
        </w:rPr>
        <w:t xml:space="preserve">  </w:t>
      </w:r>
    </w:p>
    <w:p w14:paraId="2B065944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(C)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Explain the alleged violation and/or discriminatory conduct and how enumerated items 1-8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above have been </w:t>
      </w:r>
      <w:proofErr w:type="gramStart"/>
      <w:r w:rsidRPr="000E187A">
        <w:rPr>
          <w:rFonts w:ascii="Tahoma" w:eastAsia="Times New Roman" w:hAnsi="Tahoma" w:cs="Tahoma"/>
          <w:sz w:val="21"/>
          <w:szCs w:val="21"/>
        </w:rPr>
        <w:t>violated;</w:t>
      </w:r>
      <w:proofErr w:type="gramEnd"/>
      <w:r w:rsidRPr="000E187A">
        <w:rPr>
          <w:rFonts w:ascii="Tahoma" w:eastAsia="Times New Roman" w:hAnsi="Tahoma" w:cs="Tahoma"/>
          <w:sz w:val="21"/>
          <w:szCs w:val="21"/>
        </w:rPr>
        <w:t xml:space="preserve">  </w:t>
      </w:r>
    </w:p>
    <w:p w14:paraId="2D9B5CFF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(D)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Include relevant information that would enable a public school to investigate the alleged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violation; and </w:t>
      </w:r>
    </w:p>
    <w:p w14:paraId="3C4B6D91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>(E)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Identify witnesses the school may interview.  The school will not dismiss a complaint for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failure to identify witnesses.  </w:t>
      </w:r>
    </w:p>
    <w:p w14:paraId="34B71FBB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lastRenderedPageBreak/>
        <w:t xml:space="preserve">The district hereby designates </w:t>
      </w:r>
      <w:r w:rsidRPr="000E187A">
        <w:rPr>
          <w:rFonts w:ascii="Tahoma" w:eastAsia="Times New Roman" w:hAnsi="Tahoma" w:cs="Tahoma"/>
          <w:sz w:val="21"/>
          <w:szCs w:val="21"/>
          <w:u w:val="single"/>
        </w:rPr>
        <w:t>Penny Berry</w:t>
      </w:r>
      <w:r w:rsidRPr="000E187A">
        <w:rPr>
          <w:rFonts w:ascii="Tahoma" w:eastAsia="Times New Roman" w:hAnsi="Tahoma" w:cs="Tahoma"/>
          <w:sz w:val="21"/>
          <w:szCs w:val="21"/>
        </w:rPr>
        <w:t xml:space="preserve"> as the employee responsible for receiving complaints.  Complaints may be provided via telephone at </w:t>
      </w:r>
      <w:r w:rsidRPr="000E187A">
        <w:rPr>
          <w:rFonts w:ascii="Tahoma" w:eastAsia="Times New Roman" w:hAnsi="Tahoma" w:cs="Tahoma"/>
          <w:sz w:val="21"/>
          <w:szCs w:val="21"/>
          <w:u w:val="single"/>
        </w:rPr>
        <w:t>580.562.3181</w:t>
      </w:r>
      <w:r w:rsidRPr="000E187A">
        <w:rPr>
          <w:rFonts w:ascii="Tahoma" w:eastAsia="Times New Roman" w:hAnsi="Tahoma" w:cs="Tahoma"/>
          <w:sz w:val="21"/>
          <w:szCs w:val="21"/>
        </w:rPr>
        <w:t xml:space="preserve"> and via email to </w:t>
      </w:r>
      <w:hyperlink r:id="rId4" w:history="1">
        <w:r w:rsidRPr="000E187A">
          <w:rPr>
            <w:rFonts w:ascii="Tahoma" w:eastAsia="Times New Roman" w:hAnsi="Tahoma" w:cs="Tahoma"/>
            <w:color w:val="0000FF"/>
            <w:sz w:val="21"/>
            <w:szCs w:val="21"/>
            <w:u w:val="single"/>
          </w:rPr>
          <w:t>pberry@westtech.edu</w:t>
        </w:r>
      </w:hyperlink>
      <w:r w:rsidRPr="000E187A">
        <w:rPr>
          <w:rFonts w:ascii="Tahoma" w:eastAsia="Times New Roman" w:hAnsi="Tahoma" w:cs="Tahoma"/>
          <w:sz w:val="21"/>
          <w:szCs w:val="21"/>
          <w:u w:val="single"/>
        </w:rPr>
        <w:t>.</w:t>
      </w:r>
      <w:r w:rsidRPr="000E187A">
        <w:rPr>
          <w:rFonts w:ascii="Tahoma" w:eastAsia="Times New Roman" w:hAnsi="Tahoma" w:cs="Tahoma"/>
          <w:sz w:val="21"/>
          <w:szCs w:val="21"/>
        </w:rPr>
        <w:t xml:space="preserve">  This contact information shall also be accessible on the school district’s website.  </w:t>
      </w:r>
    </w:p>
    <w:p w14:paraId="70490A6B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Upon receipt of a complaint, the complainant shall receive notification from the designated employee that the complaint has been received and whether it will be investigated within ten (10) days of receipt. </w:t>
      </w:r>
    </w:p>
    <w:p w14:paraId="3D21A1A2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The school district shall investigate all legally sufficient complaints and decide as to whether a violation occurred.  The school district shall receive, </w:t>
      </w:r>
      <w:proofErr w:type="gramStart"/>
      <w:r w:rsidRPr="000E187A">
        <w:rPr>
          <w:rFonts w:ascii="Tahoma" w:eastAsia="Times New Roman" w:hAnsi="Tahoma" w:cs="Tahoma"/>
          <w:sz w:val="21"/>
          <w:szCs w:val="21"/>
        </w:rPr>
        <w:t>process</w:t>
      </w:r>
      <w:proofErr w:type="gramEnd"/>
      <w:r w:rsidRPr="000E187A">
        <w:rPr>
          <w:rFonts w:ascii="Tahoma" w:eastAsia="Times New Roman" w:hAnsi="Tahoma" w:cs="Tahoma"/>
          <w:sz w:val="21"/>
          <w:szCs w:val="21"/>
        </w:rPr>
        <w:t xml:space="preserve"> and investigate complaints in the same manner as all other complaints of discrimination. The investigation process shall be completed within ninety (90) days of receipt of a claim.  Within thirty (30) days of resolution of the complaint, the designated employee shall report the resolution to the State Department of Education.  </w:t>
      </w:r>
    </w:p>
    <w:p w14:paraId="4E4299F2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No individual shall be retaliated against for (1) filing a complaint; or (2) the purpose of interfering with any right or privilege secured by federal civil rights laws and regulations.  Any school employee who retaliates against a complainant may be subject to disciplinary action by the school district or by the State Board of Education.  </w:t>
      </w:r>
    </w:p>
    <w:p w14:paraId="6C18A770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Any teacher who files a complaint or otherwise discloses information that the teacher reasonably believes is a violation of the prohibited concepts listed above shall be entitled to Whistleblower Protections.  </w:t>
      </w:r>
    </w:p>
    <w:p w14:paraId="08DC5B51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Any teacher or other school employee who, willfully, knowingly, and without probable cause makes a false report may be subject to disciplinary action by the school district or by the State Board of Education.   </w:t>
      </w:r>
    </w:p>
    <w:p w14:paraId="08A7EDFF" w14:textId="77777777" w:rsidR="000E187A" w:rsidRP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</w:p>
    <w:p w14:paraId="2D6212A0" w14:textId="64AE2E18" w:rsidR="000E187A" w:rsidRDefault="000E187A" w:rsidP="001C768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REFERENCE: </w:t>
      </w:r>
      <w:r w:rsidRPr="000E187A">
        <w:rPr>
          <w:rFonts w:ascii="Tahoma" w:eastAsia="Times New Roman" w:hAnsi="Tahoma" w:cs="Tahoma"/>
          <w:sz w:val="21"/>
          <w:szCs w:val="21"/>
        </w:rPr>
        <w:tab/>
        <w:t xml:space="preserve">70 O.S. § 24-157 </w:t>
      </w:r>
    </w:p>
    <w:p w14:paraId="7D8B59C7" w14:textId="4FDBAADC" w:rsidR="001C7681" w:rsidRDefault="001C7681" w:rsidP="001C768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>State Accreditation Standard 210:10-1-23</w:t>
      </w:r>
    </w:p>
    <w:p w14:paraId="37CE7B0B" w14:textId="2D2F01C6" w:rsidR="001C7681" w:rsidRPr="000E187A" w:rsidRDefault="001C7681" w:rsidP="001C7681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sz w:val="21"/>
          <w:szCs w:val="21"/>
        </w:rPr>
        <w:tab/>
      </w:r>
      <w:r>
        <w:rPr>
          <w:rFonts w:ascii="Tahoma" w:eastAsia="Times New Roman" w:hAnsi="Tahoma" w:cs="Tahoma"/>
          <w:sz w:val="21"/>
          <w:szCs w:val="21"/>
        </w:rPr>
        <w:tab/>
      </w:r>
      <w:r>
        <w:rPr>
          <w:rFonts w:ascii="Tahoma" w:eastAsia="Times New Roman" w:hAnsi="Tahoma" w:cs="Tahoma"/>
          <w:sz w:val="21"/>
          <w:szCs w:val="21"/>
        </w:rPr>
        <w:tab/>
      </w:r>
    </w:p>
    <w:p w14:paraId="26714670" w14:textId="144ED0ED" w:rsidR="000E187A" w:rsidRDefault="000E187A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0E187A">
        <w:rPr>
          <w:rFonts w:ascii="Tahoma" w:eastAsia="Times New Roman" w:hAnsi="Tahoma" w:cs="Tahoma"/>
          <w:sz w:val="21"/>
          <w:szCs w:val="21"/>
        </w:rPr>
        <w:t xml:space="preserve">OSSBA               </w:t>
      </w:r>
      <w:proofErr w:type="gramStart"/>
      <w:r w:rsidRPr="000E187A">
        <w:rPr>
          <w:rFonts w:ascii="Tahoma" w:eastAsia="Times New Roman" w:hAnsi="Tahoma" w:cs="Tahoma"/>
          <w:sz w:val="21"/>
          <w:szCs w:val="21"/>
        </w:rPr>
        <w:t xml:space="preserve">  :</w:t>
      </w:r>
      <w:proofErr w:type="gramEnd"/>
      <w:r w:rsidRPr="000E187A">
        <w:rPr>
          <w:rFonts w:ascii="Tahoma" w:eastAsia="Times New Roman" w:hAnsi="Tahoma" w:cs="Tahoma"/>
          <w:sz w:val="21"/>
          <w:szCs w:val="21"/>
        </w:rPr>
        <w:tab/>
        <w:t>EGG</w:t>
      </w:r>
    </w:p>
    <w:p w14:paraId="2EB1CBC5" w14:textId="77777777" w:rsidR="001C7681" w:rsidRPr="000E187A" w:rsidRDefault="001C7681" w:rsidP="000E187A">
      <w:pPr>
        <w:spacing w:after="200" w:line="276" w:lineRule="auto"/>
        <w:jc w:val="both"/>
        <w:rPr>
          <w:rFonts w:ascii="Tahoma" w:eastAsia="Times New Roman" w:hAnsi="Tahoma" w:cs="Tahoma"/>
          <w:sz w:val="21"/>
          <w:szCs w:val="21"/>
        </w:rPr>
      </w:pPr>
    </w:p>
    <w:p w14:paraId="1AB5C3C0" w14:textId="62A80702" w:rsidR="00DC4E80" w:rsidRDefault="000E187A" w:rsidP="000E187A">
      <w:r w:rsidRPr="000E187A">
        <w:rPr>
          <w:rFonts w:ascii="Tahoma" w:eastAsia="Times New Roman" w:hAnsi="Tahoma" w:cs="Tahoma"/>
          <w:sz w:val="21"/>
          <w:szCs w:val="21"/>
        </w:rPr>
        <w:t>Adopted by the Western Technology Center Board of Education September 14, 2021.</w:t>
      </w:r>
      <w:r w:rsidRPr="000E187A">
        <w:rPr>
          <w:rFonts w:ascii="Tahoma" w:eastAsia="Times New Roman" w:hAnsi="Tahoma" w:cs="Tahoma"/>
          <w:sz w:val="21"/>
          <w:szCs w:val="21"/>
        </w:rPr>
        <w:tab/>
      </w:r>
    </w:p>
    <w:sectPr w:rsidR="00DC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F9"/>
    <w:rsid w:val="000E187A"/>
    <w:rsid w:val="001C7681"/>
    <w:rsid w:val="00331EE8"/>
    <w:rsid w:val="00602FE6"/>
    <w:rsid w:val="00C67B96"/>
    <w:rsid w:val="00E45FE4"/>
    <w:rsid w:val="00E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97EA"/>
  <w15:chartTrackingRefBased/>
  <w15:docId w15:val="{97EB8C84-289D-4791-B374-51EEEB6D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erry@west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Clark</dc:creator>
  <cp:keywords/>
  <dc:description/>
  <cp:lastModifiedBy>Denise Wilkinson</cp:lastModifiedBy>
  <cp:revision>2</cp:revision>
  <dcterms:created xsi:type="dcterms:W3CDTF">2021-10-04T15:27:00Z</dcterms:created>
  <dcterms:modified xsi:type="dcterms:W3CDTF">2021-10-04T15:27:00Z</dcterms:modified>
</cp:coreProperties>
</file>